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764"/>
      </w:tblGrid>
      <w:tr w:rsidR="00AF4985" w14:paraId="7E61029C" w14:textId="77777777" w:rsidTr="00650C76">
        <w:tc>
          <w:tcPr>
            <w:tcW w:w="4528" w:type="dxa"/>
          </w:tcPr>
          <w:p w14:paraId="0B9A6934" w14:textId="77777777" w:rsidR="00AF4985" w:rsidRDefault="00AF4985">
            <w:r>
              <w:rPr>
                <w:noProof/>
                <w:lang w:eastAsia="fr-FR"/>
              </w:rPr>
              <w:drawing>
                <wp:inline distT="114300" distB="114300" distL="114300" distR="114300" wp14:anchorId="2D58A00D" wp14:editId="3C00D183">
                  <wp:extent cx="2275200" cy="619200"/>
                  <wp:effectExtent l="0" t="0" r="0" b="0"/>
                  <wp:docPr id="1" name="image2.png" descr="logo-luciole-couleur-clair-tran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-luciole-couleur-clair-trans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200" cy="61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</w:tcPr>
          <w:p w14:paraId="3DC293DB" w14:textId="64AE8C40" w:rsidR="00AF4985" w:rsidRPr="00650C76" w:rsidRDefault="00F05ED7" w:rsidP="00650C76">
            <w:pPr>
              <w:jc w:val="right"/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</w:pPr>
            <w:r w:rsidRPr="00650C76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Communiqué de presse</w:t>
            </w:r>
          </w:p>
          <w:p w14:paraId="6CAF1997" w14:textId="6A05C371" w:rsidR="00AF4985" w:rsidRPr="00650C76" w:rsidRDefault="00FC0208" w:rsidP="00650C76">
            <w:pPr>
              <w:jc w:val="right"/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Paris, le 12</w:t>
            </w:r>
            <w:r w:rsidR="00F05ED7" w:rsidRPr="00650C76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 octobre</w:t>
            </w:r>
            <w:r w:rsidR="00AF4985" w:rsidRPr="00650C76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 2017</w:t>
            </w:r>
          </w:p>
          <w:p w14:paraId="14759850" w14:textId="77777777" w:rsidR="00AF4985" w:rsidRDefault="00AF4985"/>
        </w:tc>
      </w:tr>
      <w:tr w:rsidR="00AF4985" w14:paraId="205D099F" w14:textId="77777777" w:rsidTr="00650C76">
        <w:tc>
          <w:tcPr>
            <w:tcW w:w="9292" w:type="dxa"/>
            <w:gridSpan w:val="2"/>
          </w:tcPr>
          <w:p w14:paraId="6AAE1ACC" w14:textId="77777777" w:rsidR="00AF4985" w:rsidRPr="001F5409" w:rsidRDefault="00AF4985" w:rsidP="00AF4985">
            <w:pPr>
              <w:spacing w:line="276" w:lineRule="auto"/>
              <w:jc w:val="both"/>
              <w:rPr>
                <w:rFonts w:ascii="Archivo Narrow" w:eastAsia="Archivo Narrow" w:hAnsi="Archivo Narrow" w:cs="Archivo Narrow"/>
                <w:b/>
                <w:color w:val="404040"/>
                <w:sz w:val="30"/>
                <w:szCs w:val="36"/>
              </w:rPr>
            </w:pPr>
          </w:p>
          <w:p w14:paraId="0120FB7D" w14:textId="5293D597" w:rsidR="00A847F0" w:rsidRDefault="00501D92" w:rsidP="00B3361D">
            <w:pPr>
              <w:jc w:val="center"/>
              <w:rPr>
                <w:rFonts w:ascii="Open Sans Light" w:eastAsia="Open Sans Light" w:hAnsi="Open Sans Light" w:cs="Open Sans Light"/>
                <w:b/>
                <w:color w:val="222222"/>
                <w:sz w:val="34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color w:val="222222"/>
                <w:sz w:val="34"/>
                <w:szCs w:val="20"/>
              </w:rPr>
              <w:t>Performance énergétique</w:t>
            </w:r>
            <w:r w:rsidR="001F5409">
              <w:rPr>
                <w:rFonts w:ascii="Open Sans Light" w:eastAsia="Open Sans Light" w:hAnsi="Open Sans Light" w:cs="Open Sans Light"/>
                <w:b/>
                <w:color w:val="222222"/>
                <w:sz w:val="34"/>
                <w:szCs w:val="20"/>
              </w:rPr>
              <w:t xml:space="preserve"> des bâtiments</w:t>
            </w:r>
            <w:r w:rsidR="00A43F75">
              <w:rPr>
                <w:rFonts w:ascii="Open Sans Light" w:eastAsia="Open Sans Light" w:hAnsi="Open Sans Light" w:cs="Open Sans Light"/>
                <w:b/>
                <w:color w:val="222222"/>
                <w:sz w:val="34"/>
                <w:szCs w:val="20"/>
              </w:rPr>
              <w:t xml:space="preserve"> tertiaire</w:t>
            </w:r>
            <w:r>
              <w:rPr>
                <w:rFonts w:ascii="Open Sans Light" w:eastAsia="Open Sans Light" w:hAnsi="Open Sans Light" w:cs="Open Sans Light"/>
                <w:b/>
                <w:color w:val="222222"/>
                <w:sz w:val="34"/>
                <w:szCs w:val="20"/>
              </w:rPr>
              <w:t>s</w:t>
            </w:r>
            <w:r w:rsidR="00B3361D" w:rsidRPr="00B3361D">
              <w:rPr>
                <w:rFonts w:ascii="Open Sans Light" w:eastAsia="Open Sans Light" w:hAnsi="Open Sans Light" w:cs="Open Sans Light"/>
                <w:b/>
                <w:color w:val="222222"/>
                <w:sz w:val="34"/>
                <w:szCs w:val="20"/>
              </w:rPr>
              <w:t xml:space="preserve"> : LUCIOLE </w:t>
            </w:r>
            <w:r w:rsidR="00FC0208">
              <w:rPr>
                <w:rFonts w:ascii="Open Sans Light" w:eastAsia="Open Sans Light" w:hAnsi="Open Sans Light" w:cs="Open Sans Light"/>
                <w:b/>
                <w:color w:val="222222"/>
                <w:sz w:val="34"/>
                <w:szCs w:val="20"/>
              </w:rPr>
              <w:t>demande au Gouvernement un nouveau décret</w:t>
            </w:r>
            <w:bookmarkStart w:id="0" w:name="_GoBack"/>
            <w:bookmarkEnd w:id="0"/>
          </w:p>
          <w:p w14:paraId="213E5C9A" w14:textId="695C92CB" w:rsidR="001E0369" w:rsidRPr="00B3361D" w:rsidRDefault="00AF4985" w:rsidP="00B3361D">
            <w:pPr>
              <w:jc w:val="center"/>
              <w:rPr>
                <w:rFonts w:ascii="Open Sans Light" w:eastAsia="Open Sans Light" w:hAnsi="Open Sans Light" w:cs="Open Sans Light"/>
                <w:b/>
                <w:color w:val="222222"/>
                <w:sz w:val="16"/>
                <w:szCs w:val="16"/>
              </w:rPr>
            </w:pPr>
            <w:r w:rsidRPr="00B3361D">
              <w:rPr>
                <w:rFonts w:ascii="MingLiU" w:eastAsia="MingLiU" w:hAnsi="MingLiU" w:cs="MingLiU"/>
                <w:b/>
                <w:color w:val="404040"/>
                <w:sz w:val="36"/>
                <w:szCs w:val="36"/>
              </w:rPr>
              <w:br/>
            </w:r>
            <w:bookmarkStart w:id="1" w:name="_gjdgxs" w:colFirst="0" w:colLast="0"/>
            <w:bookmarkEnd w:id="1"/>
          </w:p>
          <w:p w14:paraId="7073458D" w14:textId="4DAE3A72" w:rsidR="001E0369" w:rsidRPr="001F5409" w:rsidRDefault="00490E20" w:rsidP="001E0369">
            <w:pPr>
              <w:jc w:val="both"/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 xml:space="preserve">Alors que la </w:t>
            </w:r>
            <w:r w:rsidR="00A5301E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 xml:space="preserve">nouvelle </w:t>
            </w:r>
            <w:r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 xml:space="preserve">Charte du </w:t>
            </w:r>
            <w:r w:rsidR="00A5301E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 xml:space="preserve">Plan </w:t>
            </w:r>
            <w:r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 xml:space="preserve">Bâtiment durable </w:t>
            </w:r>
            <w:r w:rsidR="0042178A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 xml:space="preserve">renforce </w:t>
            </w:r>
            <w:r w:rsidR="00A040BD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>le principe d’une mobilisation volontaire des acteurs</w:t>
            </w:r>
            <w:r w:rsidR="00003B6F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 xml:space="preserve"> de l’immobilier tertiaire</w:t>
            </w:r>
            <w:r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 xml:space="preserve"> </w:t>
            </w:r>
            <w:r w:rsidR="00A040BD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 xml:space="preserve">et que </w:t>
            </w:r>
            <w:r w:rsidR="001E0369" w:rsidRPr="001F5409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 xml:space="preserve">Nicolas Hulot, </w:t>
            </w:r>
            <w:r w:rsidR="001E0369" w:rsidRPr="001F5409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>Ministre de la transition écologique et solidaire</w:t>
            </w:r>
            <w:r w:rsidR="00B3361D" w:rsidRPr="001F5409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 xml:space="preserve">, présente dans quelques jours sa feuille de route sur la rénovation énergétique, l’association LUCIOLE </w:t>
            </w:r>
            <w:r w:rsidR="00A847F0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>dénonce l</w:t>
            </w:r>
            <w:r w:rsidR="00003B6F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>’incapacité des pouvoirs publics</w:t>
            </w:r>
            <w:r w:rsidR="00950C65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 xml:space="preserve"> </w:t>
            </w:r>
            <w:r w:rsidR="00003B6F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 xml:space="preserve">à engager le secteur de l’immobilier tertiaire sur la voie de la performance énergétique comme en témoigne le récent </w:t>
            </w:r>
            <w:r w:rsidR="00B3361D" w:rsidRPr="001F5409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 xml:space="preserve">fiasco du « décret tertiaire ». </w:t>
            </w:r>
            <w:r w:rsidR="001F5409" w:rsidRPr="001F5409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>LUCIOLE demande au gouvernement un engagement rapide</w:t>
            </w:r>
            <w:r w:rsidR="001F5409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 xml:space="preserve"> dans l’élaboration</w:t>
            </w:r>
            <w:r w:rsidR="001F5409" w:rsidRPr="001F5409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 xml:space="preserve"> d’un texte clair et cohérent pour </w:t>
            </w:r>
            <w:r w:rsidR="00A5301E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 xml:space="preserve">accélérer la mobilisation des acteurs du secteur tertiaire </w:t>
            </w:r>
            <w:r w:rsidR="002D71B8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>vers</w:t>
            </w:r>
            <w:r w:rsidR="00A5301E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 xml:space="preserve"> la transition énergétique du parc français. </w:t>
            </w:r>
          </w:p>
          <w:p w14:paraId="3A260613" w14:textId="796FA342" w:rsidR="00B3361D" w:rsidRDefault="00B3361D" w:rsidP="00B3361D">
            <w:pPr>
              <w:jc w:val="both"/>
              <w:rPr>
                <w:rFonts w:ascii="Open Sans Light" w:eastAsia="Open Sans Light" w:hAnsi="Open Sans Light" w:cs="Open Sans Light"/>
                <w:b/>
                <w:color w:val="222222"/>
                <w:sz w:val="20"/>
                <w:szCs w:val="20"/>
              </w:rPr>
            </w:pPr>
          </w:p>
          <w:p w14:paraId="4AD710EA" w14:textId="7BDFC191" w:rsidR="001F5409" w:rsidRDefault="001F5409" w:rsidP="00B3361D">
            <w:pPr>
              <w:jc w:val="both"/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</w:pPr>
            <w:r w:rsidRPr="001F5409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>L’Immobilier tertiaire : une priorité pour une politique énergétique efficace.</w:t>
            </w:r>
          </w:p>
          <w:p w14:paraId="5211C765" w14:textId="77777777" w:rsidR="00AE2E37" w:rsidRPr="001F5409" w:rsidRDefault="00AE2E37" w:rsidP="00B3361D">
            <w:pPr>
              <w:jc w:val="both"/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</w:pPr>
          </w:p>
          <w:p w14:paraId="0B73F65C" w14:textId="0B374EBA" w:rsidR="001F5409" w:rsidRDefault="00490E20" w:rsidP="001F5409">
            <w:pPr>
              <w:jc w:val="both"/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Le secteur </w:t>
            </w:r>
            <w:r w:rsidR="00A5301E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de l’immobilier </w:t>
            </w: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tertiaire pèse </w:t>
            </w:r>
            <w:r w:rsidR="00A5301E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à lui plus de </w:t>
            </w:r>
            <w:r w:rsidR="001F5409" w:rsidRPr="001F5409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15</w:t>
            </w: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 </w:t>
            </w:r>
            <w:r w:rsidR="001F5409" w:rsidRPr="001F5409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% de la consommation d’énergie finale franç</w:t>
            </w: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aise</w:t>
            </w:r>
            <w:r w:rsidR="00A5301E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. Il est à ce titre un acteur</w:t>
            </w: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 incontournable pour </w:t>
            </w:r>
            <w:r w:rsidR="002D71B8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engager profondément</w:t>
            </w: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 la transition énergétique de notre pays. </w:t>
            </w:r>
          </w:p>
          <w:p w14:paraId="40CC8CA8" w14:textId="63D3E54C" w:rsidR="00D3337D" w:rsidRDefault="00A5301E" w:rsidP="00D3337D">
            <w:pPr>
              <w:jc w:val="both"/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Or, d</w:t>
            </w:r>
            <w:r w:rsidR="00D3337D" w:rsidRPr="00D3337D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ans le plan climat, la priorité est donnée aux logements et aux bâtiments publics. Aucune mention n’est faite du parc </w:t>
            </w:r>
            <w:r w:rsidR="00D3337D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tertiaire privé. </w:t>
            </w:r>
          </w:p>
          <w:p w14:paraId="54FC3A9F" w14:textId="5F2F550B" w:rsidR="00D3337D" w:rsidRPr="00D3337D" w:rsidRDefault="00D3337D" w:rsidP="00D3337D">
            <w:pPr>
              <w:jc w:val="both"/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« </w:t>
            </w:r>
            <w:r w:rsidRPr="00D3337D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 xml:space="preserve">Il n’est pas concevable qu’un </w:t>
            </w:r>
            <w:r w:rsidR="00A5301E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 xml:space="preserve">secteur aussi crucial que </w:t>
            </w:r>
            <w:r w:rsidRPr="00D3337D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 xml:space="preserve">celui-ci soit le grand oublié de la politique énergétique en France. Nous </w:t>
            </w:r>
            <w:r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>saluons</w:t>
            </w:r>
            <w:r w:rsidRPr="00D3337D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 xml:space="preserve"> les 9 milliards débloqués par le plan d’investissements pour les logements et </w:t>
            </w:r>
            <w:r w:rsidR="00A5301E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>l</w:t>
            </w:r>
            <w:r w:rsidRPr="00D3337D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 xml:space="preserve">es bâtiments publics. Mais </w:t>
            </w:r>
            <w:r w:rsidR="006A77B4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>les 7 années d’errance du d</w:t>
            </w:r>
            <w:r w:rsidR="00B033D3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>é</w:t>
            </w:r>
            <w:r w:rsidR="006A77B4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 xml:space="preserve">cret tertiaire et </w:t>
            </w:r>
            <w:r w:rsidRPr="00D3337D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 xml:space="preserve">le silence </w:t>
            </w:r>
            <w:r w:rsidR="006A77B4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 xml:space="preserve">actuel </w:t>
            </w:r>
            <w:r w:rsidRPr="00D3337D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 xml:space="preserve">des pouvoirs publics sur </w:t>
            </w:r>
            <w:r w:rsidR="008D11DE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>ce dernier</w:t>
            </w:r>
            <w:r w:rsidR="00742AEE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 xml:space="preserve"> est un mauvais signal pour l’ensemble des acteurs</w:t>
            </w:r>
            <w:r w:rsidRPr="00D3337D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>.</w:t>
            </w: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 »</w:t>
            </w:r>
            <w:r w:rsidR="00B033D3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 déplore</w:t>
            </w: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 </w:t>
            </w:r>
            <w:r w:rsidRPr="00D3337D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Vincent Bryant, Président de </w:t>
            </w:r>
            <w:proofErr w:type="spellStart"/>
            <w:r w:rsidRPr="00D3337D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Deepki</w:t>
            </w:r>
            <w:proofErr w:type="spellEnd"/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 et membre de LUCIOLE</w:t>
            </w:r>
          </w:p>
          <w:p w14:paraId="12BAF3C4" w14:textId="0A93FD31" w:rsidR="00D3337D" w:rsidRDefault="00D3337D" w:rsidP="001F5409">
            <w:pPr>
              <w:jc w:val="both"/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</w:pPr>
          </w:p>
          <w:p w14:paraId="3B8AD67C" w14:textId="5853392C" w:rsidR="000C40E9" w:rsidRDefault="000C40E9" w:rsidP="001F5409">
            <w:pPr>
              <w:jc w:val="both"/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</w:pPr>
          </w:p>
          <w:p w14:paraId="0BC53CEE" w14:textId="0F1B40F1" w:rsidR="000C40E9" w:rsidRDefault="00D3337D" w:rsidP="001F5409">
            <w:pPr>
              <w:jc w:val="both"/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</w:pPr>
            <w:r w:rsidRPr="00D3337D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>Une opportunité pour les entreprises</w:t>
            </w:r>
          </w:p>
          <w:p w14:paraId="23970976" w14:textId="77777777" w:rsidR="00AE2E37" w:rsidRPr="00D3337D" w:rsidRDefault="00AE2E37" w:rsidP="001F5409">
            <w:pPr>
              <w:jc w:val="both"/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</w:pPr>
          </w:p>
          <w:p w14:paraId="4B8BD12C" w14:textId="5E9ACF13" w:rsidR="00D3337D" w:rsidRDefault="00976D11" w:rsidP="00D3337D">
            <w:pPr>
              <w:jc w:val="both"/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L</w:t>
            </w:r>
            <w:r w:rsidR="00D3337D" w:rsidRPr="00D3337D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'objectif poursuivi </w:t>
            </w:r>
            <w:r w:rsidR="00D3337D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d’une meilleure performance environnementale des bâtiments </w:t>
            </w:r>
            <w:r w:rsidR="002D71B8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n'a jamais été </w:t>
            </w: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contesté </w:t>
            </w:r>
            <w:r w:rsidR="00D3337D" w:rsidRPr="00D3337D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par les </w:t>
            </w:r>
            <w:r w:rsidR="002D71B8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détracteurs du décret</w:t>
            </w:r>
            <w:r w:rsidR="00D3337D" w:rsidRPr="00D3337D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, </w:t>
            </w: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qui dénon</w:t>
            </w:r>
            <w:r w:rsidR="002D71B8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çaient</w:t>
            </w:r>
            <w:r w:rsidR="00FC0208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 surtout le</w:t>
            </w:r>
            <w:r w:rsidR="00D3337D" w:rsidRPr="00D3337D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 </w:t>
            </w:r>
            <w:r w:rsidR="002D71B8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manque de clarté de la méthode </w:t>
            </w:r>
            <w:r w:rsidR="00501D92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et l</w:t>
            </w:r>
            <w:r w:rsidR="006C36FC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es délais intenables</w:t>
            </w: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. Pour </w:t>
            </w:r>
            <w:r w:rsidR="002D71B8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engager les acteurs,</w:t>
            </w: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 il </w:t>
            </w:r>
            <w:r w:rsidR="006C36FC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est </w:t>
            </w: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nécessaire</w:t>
            </w:r>
            <w:r w:rsidR="006C36FC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 d</w:t>
            </w:r>
            <w:r w:rsidR="00501D92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’offrir un cadre clair tout en laissant aux acteurs la latitude nécessaire pour engager les actions les plus efficaces </w:t>
            </w:r>
            <w:r w:rsidR="005846D9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sur leur parc. L’exigence de performance doit être une exigence de résultats et non de moyens.</w:t>
            </w:r>
          </w:p>
          <w:p w14:paraId="1D176443" w14:textId="068C1014" w:rsidR="00AE2E37" w:rsidRDefault="00AE2E37" w:rsidP="00D3337D">
            <w:pPr>
              <w:jc w:val="both"/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« </w:t>
            </w:r>
            <w:r w:rsidRPr="00AE2E37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 xml:space="preserve">Pour engager efficacement le secteur vers la transition énergétique, les acteurs concernés doivent pouvoir s’appuyer sur des règles stables et une visibilité à long terme. La sortie d’un décret </w:t>
            </w:r>
            <w:r w:rsidR="006C36FC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 xml:space="preserve">doit </w:t>
            </w:r>
            <w:r w:rsidRPr="00AE2E37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>repose</w:t>
            </w:r>
            <w:r w:rsidR="006C36FC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>r</w:t>
            </w:r>
            <w:r w:rsidRPr="00AE2E37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 xml:space="preserve"> sur une feuille de route s’échelonnant jusqu’en 2030 et inscrire des lignes directrices pour horizon 2050.</w:t>
            </w:r>
            <w:r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 xml:space="preserve"> </w:t>
            </w:r>
            <w:r w:rsidRPr="00AE2E37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>»</w:t>
            </w: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 explique </w:t>
            </w:r>
            <w:r w:rsidR="00A5301E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Sylvain Lagarde</w:t>
            </w: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, Direc</w:t>
            </w:r>
            <w:r w:rsidR="002D71B8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teur associé </w:t>
            </w: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d</w:t>
            </w:r>
            <w:r w:rsidR="00A5301E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e </w:t>
            </w:r>
            <w:proofErr w:type="spellStart"/>
            <w:r w:rsidR="00A5301E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Eqinov</w:t>
            </w:r>
            <w:proofErr w:type="spellEnd"/>
            <w:r w:rsidR="00A5301E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et membre de LUCIOLE.  </w:t>
            </w:r>
          </w:p>
          <w:p w14:paraId="0A2176F0" w14:textId="77777777" w:rsidR="00AE2E37" w:rsidRDefault="00AE2E37" w:rsidP="00D3337D">
            <w:pPr>
              <w:jc w:val="both"/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</w:pPr>
          </w:p>
          <w:p w14:paraId="1678BE20" w14:textId="7D58CB4B" w:rsidR="00B3361D" w:rsidRPr="00526E08" w:rsidRDefault="00AE2E37" w:rsidP="00B3361D">
            <w:pPr>
              <w:jc w:val="both"/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Pour l’</w:t>
            </w:r>
            <w:r w:rsidR="00FB3796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association LUCIOLE, cette évolution représente</w:t>
            </w:r>
            <w:r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 </w:t>
            </w:r>
            <w:r w:rsidR="00D3337D" w:rsidRPr="00FB3796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>une opportunité pour tou</w:t>
            </w:r>
            <w:r w:rsidR="00FB3796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t un secteur de se moderniser en termes de digitalisation, </w:t>
            </w:r>
            <w:r w:rsidR="00501D92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de meilleure gestion de leur patrimoine, de </w:t>
            </w:r>
            <w:r w:rsidR="00FB3796">
              <w:rPr>
                <w:rFonts w:ascii="Open Sans Light" w:eastAsia="Open Sans Light" w:hAnsi="Open Sans Light" w:cs="Open Sans Light"/>
                <w:color w:val="222222"/>
                <w:sz w:val="22"/>
                <w:szCs w:val="20"/>
              </w:rPr>
              <w:t xml:space="preserve">réduction des charges mais également dans le rétablissement d’un dialogue entre bailleurs et locataires. </w:t>
            </w:r>
            <w:r w:rsidR="00B3361D" w:rsidRPr="00B3361D">
              <w:rPr>
                <w:rFonts w:ascii="Open Sans Light" w:eastAsia="Open Sans Light" w:hAnsi="Open Sans Light" w:cs="Open Sans Light"/>
                <w:color w:val="222222"/>
                <w:sz w:val="20"/>
                <w:szCs w:val="20"/>
              </w:rPr>
              <w:t> </w:t>
            </w:r>
          </w:p>
          <w:p w14:paraId="31229D9B" w14:textId="77777777" w:rsidR="00B3361D" w:rsidRPr="00B3361D" w:rsidRDefault="00B3361D" w:rsidP="00B3361D">
            <w:pPr>
              <w:jc w:val="both"/>
              <w:rPr>
                <w:rFonts w:ascii="Open Sans Light" w:eastAsia="Open Sans Light" w:hAnsi="Open Sans Light" w:cs="Open Sans Light"/>
                <w:color w:val="222222"/>
                <w:sz w:val="20"/>
                <w:szCs w:val="20"/>
              </w:rPr>
            </w:pPr>
          </w:p>
          <w:p w14:paraId="171330A9" w14:textId="77777777" w:rsidR="001E0369" w:rsidRDefault="001E0369" w:rsidP="001E0369">
            <w:pPr>
              <w:jc w:val="both"/>
              <w:rPr>
                <w:rFonts w:ascii="Open Sans Light" w:eastAsia="Open Sans Light" w:hAnsi="Open Sans Light" w:cs="Open Sans Light"/>
                <w:color w:val="222222"/>
                <w:sz w:val="20"/>
                <w:szCs w:val="20"/>
              </w:rPr>
            </w:pPr>
          </w:p>
          <w:p w14:paraId="563E766B" w14:textId="1C874958" w:rsidR="00AF4985" w:rsidRPr="00C978C3" w:rsidRDefault="00E27D42" w:rsidP="00443E8A">
            <w:pPr>
              <w:jc w:val="both"/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</w:pPr>
            <w:r w:rsidRPr="00C978C3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 xml:space="preserve">LUCIOLE </w:t>
            </w:r>
            <w:r w:rsidR="001E0369" w:rsidRPr="00C978C3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 xml:space="preserve">rappelle son ambition principale : inciter le consommateur à devenir acteur </w:t>
            </w:r>
            <w:r w:rsidRPr="00C978C3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 xml:space="preserve">pour accélérer la </w:t>
            </w:r>
            <w:r w:rsidR="001E0369" w:rsidRPr="00C978C3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>transition énergétique afin qu’il puisse agir et ne plus subir l’</w:t>
            </w:r>
            <w:r w:rsidR="00443E8A" w:rsidRPr="00C978C3">
              <w:rPr>
                <w:rFonts w:ascii="Open Sans Light" w:eastAsia="Open Sans Light" w:hAnsi="Open Sans Light" w:cs="Open Sans Light"/>
                <w:b/>
                <w:color w:val="222222"/>
                <w:sz w:val="22"/>
                <w:szCs w:val="20"/>
              </w:rPr>
              <w:t>énergie.</w:t>
            </w:r>
          </w:p>
          <w:p w14:paraId="3551DB76" w14:textId="77777777" w:rsidR="00AF4985" w:rsidRDefault="00AF4985"/>
        </w:tc>
      </w:tr>
      <w:tr w:rsidR="00AF4985" w14:paraId="21F94C09" w14:textId="77777777" w:rsidTr="00650C76">
        <w:trPr>
          <w:trHeight w:val="5940"/>
        </w:trPr>
        <w:tc>
          <w:tcPr>
            <w:tcW w:w="9292" w:type="dxa"/>
            <w:gridSpan w:val="2"/>
          </w:tcPr>
          <w:p w14:paraId="133DE406" w14:textId="5FC85D18" w:rsidR="00882513" w:rsidRDefault="00882513" w:rsidP="00443E8A">
            <w:pPr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5C723A47" wp14:editId="77CBC819">
                  <wp:extent cx="5752465" cy="3348990"/>
                  <wp:effectExtent l="0" t="0" r="0" b="3810"/>
                  <wp:docPr id="2" name="Image 2" descr="Capture%20d’écran%202017-10-09%20à%2019.16.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pture%20d’écran%202017-10-09%20à%2019.16.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465" cy="334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46E4BE" w14:textId="536B3942" w:rsidR="00AF4985" w:rsidRDefault="00AF4985" w:rsidP="00683AAE"/>
          <w:p w14:paraId="36C2078B" w14:textId="77777777" w:rsidR="00443E8A" w:rsidRDefault="00443E8A" w:rsidP="00443E8A">
            <w:pPr>
              <w:jc w:val="center"/>
            </w:pPr>
          </w:p>
          <w:p w14:paraId="4CA83404" w14:textId="77777777" w:rsidR="00443E8A" w:rsidRPr="00443E8A" w:rsidRDefault="00443E8A" w:rsidP="00443E8A">
            <w:pPr>
              <w:jc w:val="center"/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</w:pPr>
            <w:r w:rsidRPr="00443E8A">
              <w:rPr>
                <w:rFonts w:ascii="Open Sans Light" w:eastAsia="Open Sans Light" w:hAnsi="Open Sans Light" w:cs="Open Sans Light"/>
                <w:b/>
                <w:i/>
                <w:color w:val="222222"/>
                <w:sz w:val="22"/>
                <w:szCs w:val="20"/>
              </w:rPr>
              <w:t xml:space="preserve">Retrouvez Luciole </w:t>
            </w:r>
          </w:p>
          <w:p w14:paraId="6BE05318" w14:textId="77777777" w:rsidR="00443E8A" w:rsidRDefault="00443E8A" w:rsidP="00443E8A">
            <w:pPr>
              <w:jc w:val="center"/>
              <w:rPr>
                <w:rFonts w:ascii="Open Sans Light" w:eastAsia="Open Sans Light" w:hAnsi="Open Sans Light" w:cs="Open Sans Light"/>
                <w:color w:val="222222"/>
                <w:sz w:val="20"/>
                <w:szCs w:val="20"/>
              </w:rPr>
            </w:pPr>
            <w:r w:rsidRPr="00443E8A">
              <w:rPr>
                <w:rFonts w:ascii="Open Sans Light" w:eastAsia="Open Sans Light" w:hAnsi="Open Sans Light" w:cs="Open Sans Light"/>
                <w:b/>
                <w:color w:val="222222"/>
                <w:sz w:val="20"/>
                <w:szCs w:val="20"/>
              </w:rPr>
              <w:t>Twitter :</w:t>
            </w:r>
            <w:r w:rsidRPr="00443E8A">
              <w:rPr>
                <w:rFonts w:ascii="Open Sans Light" w:eastAsia="Open Sans Light" w:hAnsi="Open Sans Light" w:cs="Open Sans Light"/>
                <w:color w:val="222222"/>
                <w:sz w:val="20"/>
                <w:szCs w:val="20"/>
              </w:rPr>
              <w:t xml:space="preserve"> @LUCIOLE_ENERGY</w:t>
            </w:r>
          </w:p>
          <w:p w14:paraId="5FBDD4EA" w14:textId="55AD717F" w:rsidR="00443E8A" w:rsidRDefault="00443E8A" w:rsidP="00443E8A">
            <w:pPr>
              <w:jc w:val="center"/>
              <w:rPr>
                <w:rFonts w:ascii="Open Sans Light" w:eastAsia="Open Sans Light" w:hAnsi="Open Sans Light" w:cs="Open Sans Light"/>
                <w:color w:val="222222"/>
                <w:sz w:val="20"/>
                <w:szCs w:val="20"/>
              </w:rPr>
            </w:pPr>
            <w:r w:rsidRPr="00443E8A">
              <w:rPr>
                <w:rFonts w:ascii="Open Sans Light" w:eastAsia="Open Sans Light" w:hAnsi="Open Sans Light" w:cs="Open Sans Light"/>
                <w:b/>
                <w:color w:val="222222"/>
                <w:sz w:val="20"/>
                <w:szCs w:val="20"/>
              </w:rPr>
              <w:t>Site internet :</w:t>
            </w:r>
            <w:r>
              <w:rPr>
                <w:rFonts w:ascii="Open Sans Light" w:eastAsia="Open Sans Light" w:hAnsi="Open Sans Light" w:cs="Open Sans Light"/>
                <w:color w:val="222222"/>
                <w:sz w:val="20"/>
                <w:szCs w:val="20"/>
              </w:rPr>
              <w:t xml:space="preserve"> </w:t>
            </w:r>
            <w:hyperlink r:id="rId9" w:history="1">
              <w:r w:rsidR="00882513" w:rsidRPr="00CE2E2D">
                <w:rPr>
                  <w:rStyle w:val="Lienhypertexte"/>
                  <w:rFonts w:ascii="Open Sans Light" w:eastAsia="Open Sans Light" w:hAnsi="Open Sans Light" w:cs="Open Sans Light"/>
                  <w:sz w:val="20"/>
                  <w:szCs w:val="20"/>
                </w:rPr>
                <w:t>https://www.luciole.energy/</w:t>
              </w:r>
            </w:hyperlink>
          </w:p>
          <w:p w14:paraId="79E7F079" w14:textId="77777777" w:rsidR="00882513" w:rsidRDefault="00882513" w:rsidP="00443E8A">
            <w:pPr>
              <w:jc w:val="center"/>
              <w:rPr>
                <w:rFonts w:ascii="Open Sans Light" w:eastAsia="Open Sans Light" w:hAnsi="Open Sans Light" w:cs="Open Sans Light"/>
                <w:color w:val="222222"/>
                <w:sz w:val="20"/>
                <w:szCs w:val="20"/>
              </w:rPr>
            </w:pPr>
          </w:p>
          <w:p w14:paraId="52013BE8" w14:textId="77777777" w:rsidR="00882513" w:rsidRDefault="00882513" w:rsidP="00443E8A">
            <w:pPr>
              <w:jc w:val="center"/>
              <w:rPr>
                <w:rFonts w:ascii="Open Sans Light" w:eastAsia="Open Sans Light" w:hAnsi="Open Sans Light" w:cs="Open Sans Light"/>
                <w:color w:val="222222"/>
                <w:sz w:val="20"/>
                <w:szCs w:val="20"/>
              </w:rPr>
            </w:pPr>
          </w:p>
          <w:p w14:paraId="17E0B12A" w14:textId="77777777" w:rsidR="00882513" w:rsidRPr="00443E8A" w:rsidRDefault="00882513" w:rsidP="00443E8A">
            <w:pPr>
              <w:jc w:val="center"/>
              <w:rPr>
                <w:rFonts w:ascii="Open Sans Light" w:eastAsia="Open Sans Light" w:hAnsi="Open Sans Light" w:cs="Open Sans Light"/>
                <w:color w:val="222222"/>
                <w:sz w:val="20"/>
                <w:szCs w:val="20"/>
              </w:rPr>
            </w:pPr>
          </w:p>
        </w:tc>
      </w:tr>
      <w:tr w:rsidR="00AF4985" w14:paraId="0C5BD729" w14:textId="77777777" w:rsidTr="00650C76">
        <w:tc>
          <w:tcPr>
            <w:tcW w:w="9292" w:type="dxa"/>
            <w:gridSpan w:val="2"/>
          </w:tcPr>
          <w:p w14:paraId="73E6BC73" w14:textId="77777777" w:rsidR="00AF4985" w:rsidRDefault="00AF4985" w:rsidP="00443E8A">
            <w:pPr>
              <w:spacing w:line="276" w:lineRule="auto"/>
              <w:jc w:val="center"/>
              <w:rPr>
                <w:rFonts w:ascii="Archivo Narrow" w:eastAsia="Archivo Narrow" w:hAnsi="Archivo Narrow" w:cs="Archivo Narrow"/>
                <w:b/>
                <w:color w:val="222222"/>
                <w:sz w:val="20"/>
                <w:szCs w:val="20"/>
              </w:rPr>
            </w:pPr>
            <w:r>
              <w:rPr>
                <w:rFonts w:ascii="Archivo Narrow" w:eastAsia="Archivo Narrow" w:hAnsi="Archivo Narrow" w:cs="Archivo Narrow"/>
                <w:b/>
                <w:color w:val="222222"/>
                <w:sz w:val="20"/>
                <w:szCs w:val="20"/>
              </w:rPr>
              <w:t>CONTACTS PRESSE</w:t>
            </w:r>
          </w:p>
          <w:p w14:paraId="75D8770B" w14:textId="77777777" w:rsidR="00AF4985" w:rsidRDefault="00AF4985"/>
        </w:tc>
      </w:tr>
      <w:tr w:rsidR="00AF4985" w14:paraId="6C90B71F" w14:textId="77777777" w:rsidTr="00650C76">
        <w:tc>
          <w:tcPr>
            <w:tcW w:w="4528" w:type="dxa"/>
          </w:tcPr>
          <w:p w14:paraId="3A5A049B" w14:textId="77777777" w:rsidR="00AF4985" w:rsidRDefault="00AF4985" w:rsidP="00AF4985">
            <w:pPr>
              <w:spacing w:line="276" w:lineRule="auto"/>
              <w:jc w:val="center"/>
              <w:rPr>
                <w:rFonts w:ascii="Open Sans Light" w:eastAsia="Open Sans Light" w:hAnsi="Open Sans Light" w:cs="Open Sans Light"/>
                <w:color w:val="222222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color w:val="222222"/>
                <w:sz w:val="18"/>
                <w:szCs w:val="18"/>
              </w:rPr>
              <w:t xml:space="preserve">Lisa </w:t>
            </w:r>
            <w:proofErr w:type="spellStart"/>
            <w:r>
              <w:rPr>
                <w:rFonts w:ascii="Open Sans Light" w:eastAsia="Open Sans Light" w:hAnsi="Open Sans Light" w:cs="Open Sans Light"/>
                <w:color w:val="222222"/>
                <w:sz w:val="18"/>
                <w:szCs w:val="18"/>
              </w:rPr>
              <w:t>Omara</w:t>
            </w:r>
            <w:proofErr w:type="spellEnd"/>
            <w:r>
              <w:rPr>
                <w:rFonts w:ascii="Open Sans Light" w:eastAsia="Open Sans Light" w:hAnsi="Open Sans Light" w:cs="Open Sans Light"/>
                <w:color w:val="222222"/>
                <w:sz w:val="18"/>
                <w:szCs w:val="18"/>
              </w:rPr>
              <w:t xml:space="preserve"> – 06 52 25 07 66</w:t>
            </w:r>
          </w:p>
          <w:p w14:paraId="2A6F7771" w14:textId="77777777" w:rsidR="00AF4985" w:rsidRDefault="004B09DF" w:rsidP="00AF4985">
            <w:pPr>
              <w:jc w:val="center"/>
            </w:pPr>
            <w:hyperlink r:id="rId10">
              <w:r w:rsidR="00AF4985">
                <w:rPr>
                  <w:rFonts w:ascii="Open Sans Light" w:eastAsia="Open Sans Light" w:hAnsi="Open Sans Light" w:cs="Open Sans Light"/>
                  <w:sz w:val="18"/>
                  <w:szCs w:val="18"/>
                </w:rPr>
                <w:t>lisa.omara@coriolink.com</w:t>
              </w:r>
            </w:hyperlink>
          </w:p>
        </w:tc>
        <w:tc>
          <w:tcPr>
            <w:tcW w:w="4764" w:type="dxa"/>
          </w:tcPr>
          <w:p w14:paraId="1145E852" w14:textId="77777777" w:rsidR="00AF4985" w:rsidRDefault="00AF4985" w:rsidP="00AF4985">
            <w:pPr>
              <w:spacing w:line="276" w:lineRule="auto"/>
              <w:jc w:val="center"/>
              <w:rPr>
                <w:rFonts w:ascii="Open Sans Light" w:eastAsia="Open Sans Light" w:hAnsi="Open Sans Light" w:cs="Open Sans Light"/>
                <w:color w:val="222222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color w:val="222222"/>
                <w:sz w:val="18"/>
                <w:szCs w:val="18"/>
              </w:rPr>
              <w:t xml:space="preserve">Amélie </w:t>
            </w:r>
            <w:proofErr w:type="spellStart"/>
            <w:r>
              <w:rPr>
                <w:rFonts w:ascii="Open Sans Light" w:eastAsia="Open Sans Light" w:hAnsi="Open Sans Light" w:cs="Open Sans Light"/>
                <w:color w:val="222222"/>
                <w:sz w:val="18"/>
                <w:szCs w:val="18"/>
              </w:rPr>
              <w:t>Lebreton</w:t>
            </w:r>
            <w:proofErr w:type="spellEnd"/>
            <w:r>
              <w:rPr>
                <w:rFonts w:ascii="Open Sans Light" w:eastAsia="Open Sans Light" w:hAnsi="Open Sans Light" w:cs="Open Sans Light"/>
                <w:color w:val="222222"/>
                <w:sz w:val="18"/>
                <w:szCs w:val="18"/>
              </w:rPr>
              <w:t xml:space="preserve"> – 06 70 60 25 30</w:t>
            </w:r>
          </w:p>
          <w:p w14:paraId="41EE4318" w14:textId="77777777" w:rsidR="00AF4985" w:rsidRDefault="004B09DF" w:rsidP="00AF4985">
            <w:pPr>
              <w:jc w:val="center"/>
            </w:pPr>
            <w:hyperlink r:id="rId11">
              <w:r w:rsidR="00AF4985">
                <w:rPr>
                  <w:rFonts w:ascii="Open Sans Light" w:eastAsia="Open Sans Light" w:hAnsi="Open Sans Light" w:cs="Open Sans Light"/>
                  <w:sz w:val="18"/>
                  <w:szCs w:val="18"/>
                </w:rPr>
                <w:t>amelie.lebreton@coriolink.com</w:t>
              </w:r>
            </w:hyperlink>
          </w:p>
        </w:tc>
      </w:tr>
    </w:tbl>
    <w:p w14:paraId="06CE2470" w14:textId="77777777" w:rsidR="0008484F" w:rsidRDefault="0008484F"/>
    <w:sectPr w:rsidR="0008484F" w:rsidSect="00650C76">
      <w:pgSz w:w="11900" w:h="16840" w:code="9"/>
      <w:pgMar w:top="1021" w:right="1418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C4265" w14:textId="77777777" w:rsidR="004B09DF" w:rsidRDefault="004B09DF" w:rsidP="00B3361D">
      <w:r>
        <w:separator/>
      </w:r>
    </w:p>
  </w:endnote>
  <w:endnote w:type="continuationSeparator" w:id="0">
    <w:p w14:paraId="6DBD9B7A" w14:textId="77777777" w:rsidR="004B09DF" w:rsidRDefault="004B09DF" w:rsidP="00B3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 Light">
    <w:altName w:val="Corbel"/>
    <w:charset w:val="00"/>
    <w:family w:val="swiss"/>
    <w:pitch w:val="variable"/>
    <w:sig w:usb0="E00002EF" w:usb1="4000205B" w:usb2="00000028" w:usb3="00000000" w:csb0="0000019F" w:csb1="00000000"/>
  </w:font>
  <w:font w:name="Archivo Narrow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ingLiU">
    <w:panose1 w:val="02020509000000000000"/>
    <w:charset w:val="88"/>
    <w:family w:val="roman"/>
    <w:pitch w:val="fixed"/>
    <w:sig w:usb0="A00002FF" w:usb1="28CFFCFA" w:usb2="00000016" w:usb3="00000000" w:csb0="00100001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93EE3" w14:textId="77777777" w:rsidR="004B09DF" w:rsidRDefault="004B09DF" w:rsidP="00B3361D">
      <w:r>
        <w:separator/>
      </w:r>
    </w:p>
  </w:footnote>
  <w:footnote w:type="continuationSeparator" w:id="0">
    <w:p w14:paraId="52355695" w14:textId="77777777" w:rsidR="004B09DF" w:rsidRDefault="004B09DF" w:rsidP="00B3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637E9"/>
    <w:multiLevelType w:val="multilevel"/>
    <w:tmpl w:val="58D07774"/>
    <w:lvl w:ilvl="0">
      <w:start w:val="1"/>
      <w:numFmt w:val="bullet"/>
      <w:lvlText w:val="➢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61A3004C"/>
    <w:multiLevelType w:val="hybridMultilevel"/>
    <w:tmpl w:val="609C9E0E"/>
    <w:lvl w:ilvl="0" w:tplc="8C86565C">
      <w:start w:val="8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4710F"/>
    <w:multiLevelType w:val="hybridMultilevel"/>
    <w:tmpl w:val="B3C892C8"/>
    <w:lvl w:ilvl="0" w:tplc="9B220AB2">
      <w:start w:val="89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E08AF"/>
    <w:multiLevelType w:val="hybridMultilevel"/>
    <w:tmpl w:val="CAA22502"/>
    <w:lvl w:ilvl="0" w:tplc="0A3E3B00">
      <w:start w:val="8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85"/>
    <w:rsid w:val="00003B6F"/>
    <w:rsid w:val="00060F33"/>
    <w:rsid w:val="00081305"/>
    <w:rsid w:val="0008484F"/>
    <w:rsid w:val="000B22BF"/>
    <w:rsid w:val="000C40E9"/>
    <w:rsid w:val="001830D4"/>
    <w:rsid w:val="001E0369"/>
    <w:rsid w:val="001F5409"/>
    <w:rsid w:val="00207D49"/>
    <w:rsid w:val="00240E02"/>
    <w:rsid w:val="00280A13"/>
    <w:rsid w:val="002D71B8"/>
    <w:rsid w:val="0042178A"/>
    <w:rsid w:val="0043299D"/>
    <w:rsid w:val="00443E8A"/>
    <w:rsid w:val="0049001A"/>
    <w:rsid w:val="00490E20"/>
    <w:rsid w:val="004B09DF"/>
    <w:rsid w:val="00501D92"/>
    <w:rsid w:val="00526E08"/>
    <w:rsid w:val="005846D9"/>
    <w:rsid w:val="00650C76"/>
    <w:rsid w:val="00683AAE"/>
    <w:rsid w:val="006A77B4"/>
    <w:rsid w:val="006C36FC"/>
    <w:rsid w:val="00734701"/>
    <w:rsid w:val="00735121"/>
    <w:rsid w:val="00742AEE"/>
    <w:rsid w:val="00882513"/>
    <w:rsid w:val="008D11DE"/>
    <w:rsid w:val="00946C1A"/>
    <w:rsid w:val="00950C65"/>
    <w:rsid w:val="00976D11"/>
    <w:rsid w:val="00A040BD"/>
    <w:rsid w:val="00A42E3B"/>
    <w:rsid w:val="00A43F75"/>
    <w:rsid w:val="00A5301E"/>
    <w:rsid w:val="00A762E9"/>
    <w:rsid w:val="00A847F0"/>
    <w:rsid w:val="00AE2E37"/>
    <w:rsid w:val="00AF4985"/>
    <w:rsid w:val="00B033D3"/>
    <w:rsid w:val="00B04E20"/>
    <w:rsid w:val="00B3361D"/>
    <w:rsid w:val="00C44124"/>
    <w:rsid w:val="00C471AF"/>
    <w:rsid w:val="00C978C3"/>
    <w:rsid w:val="00D07DBA"/>
    <w:rsid w:val="00D3337D"/>
    <w:rsid w:val="00DB4E0F"/>
    <w:rsid w:val="00E26FC2"/>
    <w:rsid w:val="00E27D42"/>
    <w:rsid w:val="00F05ED7"/>
    <w:rsid w:val="00F73486"/>
    <w:rsid w:val="00FB3796"/>
    <w:rsid w:val="00F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3AC2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4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43E8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D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D42"/>
    <w:rPr>
      <w:rFonts w:ascii="Lucida Grande" w:hAnsi="Lucida Grande" w:cs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3361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3361D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B3361D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3361D"/>
    <w:rPr>
      <w:color w:val="808080"/>
      <w:shd w:val="clear" w:color="auto" w:fill="E6E6E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60F33"/>
    <w:rPr>
      <w:rFonts w:ascii="Times New Roman" w:hAnsi="Times New Roman" w:cs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60F3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melie.lebreton@coriolink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luciole.energy/" TargetMode="External"/><Relationship Id="rId10" Type="http://schemas.openxmlformats.org/officeDocument/2006/relationships/hyperlink" Target="mailto:lisa.omara@coriolink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3006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LEBRETON (Coriolink)</dc:creator>
  <cp:keywords/>
  <dc:description/>
  <cp:lastModifiedBy>Emmanuel Blanchet</cp:lastModifiedBy>
  <cp:revision>2</cp:revision>
  <dcterms:created xsi:type="dcterms:W3CDTF">2017-10-12T07:53:00Z</dcterms:created>
  <dcterms:modified xsi:type="dcterms:W3CDTF">2017-10-12T07:53:00Z</dcterms:modified>
</cp:coreProperties>
</file>